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t>广西兴桂纸业有限公司</w:t>
      </w:r>
    </w:p>
    <w:p>
      <w:pPr>
        <w:jc w:val="cente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2022/2023榨季蔗渣运输工作集中竞价说明书</w:t>
      </w:r>
    </w:p>
    <w:p>
      <w:pPr>
        <w:numPr>
          <w:ilvl w:val="0"/>
          <w:numId w:val="0"/>
        </w:numPr>
        <w:ind w:firstLine="321" w:firstLineChars="100"/>
        <w:rPr>
          <w:rFonts w:hint="eastAsia" w:ascii="仿宋" w:hAnsi="仿宋" w:eastAsia="仿宋" w:cs="仿宋"/>
          <w:b/>
          <w:bCs/>
          <w:color w:val="000000" w:themeColor="text1"/>
          <w:sz w:val="32"/>
          <w:szCs w:val="32"/>
          <w:lang w:val="en-US" w:eastAsia="zh-CN"/>
          <w14:textFill>
            <w14:solidFill>
              <w14:schemeClr w14:val="tx1"/>
            </w14:solidFill>
          </w14:textFill>
        </w:rPr>
      </w:pPr>
    </w:p>
    <w:p>
      <w:pPr>
        <w:numPr>
          <w:ilvl w:val="0"/>
          <w:numId w:val="0"/>
        </w:numPr>
        <w:ind w:firstLine="643" w:firstLineChars="200"/>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一、承诺</w:t>
      </w:r>
    </w:p>
    <w:p>
      <w:pPr>
        <w:spacing w:before="132" w:line="240" w:lineRule="auto"/>
        <w:ind w:left="212" w:right="252" w:firstLine="545"/>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本次竞价为广西兴桂纸业有限公司进行2022/2023榨季运输需求集中磋商竞价工作，运输需求涉及蔗渣调运。</w:t>
      </w:r>
    </w:p>
    <w:p>
      <w:pPr>
        <w:spacing w:before="132" w:line="240" w:lineRule="auto"/>
        <w:ind w:left="212" w:right="252" w:firstLine="545"/>
        <w:jc w:val="both"/>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pacing w:val="-3"/>
          <w:sz w:val="32"/>
          <w:szCs w:val="32"/>
          <w14:textFill>
            <w14:solidFill>
              <w14:schemeClr w14:val="tx1"/>
            </w14:solidFill>
          </w14:textFill>
        </w:rPr>
        <w:t>本次竞价涉及的所有</w:t>
      </w:r>
      <w:r>
        <w:rPr>
          <w:rFonts w:hint="eastAsia" w:ascii="仿宋" w:hAnsi="仿宋" w:eastAsia="仿宋" w:cs="仿宋"/>
          <w:color w:val="000000" w:themeColor="text1"/>
          <w:spacing w:val="-3"/>
          <w:sz w:val="32"/>
          <w:szCs w:val="32"/>
          <w:lang w:val="en-US" w:eastAsia="zh-CN"/>
          <w14:textFill>
            <w14:solidFill>
              <w14:schemeClr w14:val="tx1"/>
            </w14:solidFill>
          </w14:textFill>
        </w:rPr>
        <w:t>兴桂纸业有限公司</w:t>
      </w:r>
      <w:r>
        <w:rPr>
          <w:rFonts w:hint="eastAsia" w:ascii="仿宋" w:hAnsi="仿宋" w:eastAsia="仿宋" w:cs="仿宋"/>
          <w:color w:val="000000" w:themeColor="text1"/>
          <w:spacing w:val="-3"/>
          <w:sz w:val="32"/>
          <w:szCs w:val="32"/>
          <w14:textFill>
            <w14:solidFill>
              <w14:schemeClr w14:val="tx1"/>
            </w14:solidFill>
          </w14:textFill>
        </w:rPr>
        <w:t>的数据和相关资料、投标</w:t>
      </w:r>
      <w:r>
        <w:rPr>
          <w:rFonts w:hint="eastAsia" w:ascii="仿宋" w:hAnsi="仿宋" w:eastAsia="仿宋" w:cs="仿宋"/>
          <w:color w:val="000000" w:themeColor="text1"/>
          <w:spacing w:val="-3"/>
          <w:sz w:val="32"/>
          <w:szCs w:val="32"/>
          <w:lang w:val="en-US" w:eastAsia="zh-CN"/>
          <w14:textFill>
            <w14:solidFill>
              <w14:schemeClr w14:val="tx1"/>
            </w14:solidFill>
          </w14:textFill>
        </w:rPr>
        <w:t>单位</w:t>
      </w:r>
      <w:r>
        <w:rPr>
          <w:rFonts w:hint="eastAsia" w:ascii="仿宋" w:hAnsi="仿宋" w:eastAsia="仿宋" w:cs="仿宋"/>
          <w:color w:val="000000" w:themeColor="text1"/>
          <w:spacing w:val="-3"/>
          <w:sz w:val="32"/>
          <w:szCs w:val="32"/>
          <w14:textFill>
            <w14:solidFill>
              <w14:schemeClr w14:val="tx1"/>
            </w14:solidFill>
          </w14:textFill>
        </w:rPr>
        <w:t>完成投标书所提供</w:t>
      </w:r>
      <w:r>
        <w:rPr>
          <w:rFonts w:hint="eastAsia" w:ascii="仿宋" w:hAnsi="仿宋" w:eastAsia="仿宋" w:cs="仿宋"/>
          <w:color w:val="000000" w:themeColor="text1"/>
          <w:sz w:val="32"/>
          <w:szCs w:val="32"/>
          <w14:textFill>
            <w14:solidFill>
              <w14:schemeClr w14:val="tx1"/>
            </w14:solidFill>
          </w14:textFill>
        </w:rPr>
        <w:t>的相关业务资料及各项往来书信均被视为保密资料，投标单位必须严格保密；未经允许不得擅自复制和转载，不得向任何第三方透露，如经发现将立即取消其合作资格，造成严重后果的将追究法律责任。</w:t>
      </w:r>
    </w:p>
    <w:p>
      <w:pPr>
        <w:spacing w:before="122" w:line="240" w:lineRule="auto"/>
        <w:ind w:left="212" w:right="252" w:firstLine="425"/>
        <w:jc w:val="left"/>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兴桂纸业有限公司</w:t>
      </w:r>
      <w:r>
        <w:rPr>
          <w:rFonts w:hint="eastAsia" w:ascii="仿宋" w:hAnsi="仿宋" w:eastAsia="仿宋" w:cs="仿宋"/>
          <w:color w:val="000000" w:themeColor="text1"/>
          <w:sz w:val="32"/>
          <w:szCs w:val="32"/>
          <w14:textFill>
            <w14:solidFill>
              <w14:schemeClr w14:val="tx1"/>
            </w14:solidFill>
          </w14:textFill>
        </w:rPr>
        <w:t>承诺对</w:t>
      </w:r>
      <w:r>
        <w:rPr>
          <w:rFonts w:hint="eastAsia" w:ascii="仿宋" w:hAnsi="仿宋" w:eastAsia="仿宋" w:cs="仿宋"/>
          <w:color w:val="000000" w:themeColor="text1"/>
          <w:sz w:val="32"/>
          <w:szCs w:val="32"/>
          <w:lang w:val="en-US" w:eastAsia="zh-CN"/>
          <w14:textFill>
            <w14:solidFill>
              <w14:schemeClr w14:val="tx1"/>
            </w14:solidFill>
          </w14:textFill>
        </w:rPr>
        <w:t>参与投标单位的相关信息和资料，包括但不仅限于投标价格</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投标线路、</w:t>
      </w:r>
      <w:r>
        <w:rPr>
          <w:rFonts w:hint="eastAsia" w:ascii="仿宋" w:hAnsi="仿宋" w:eastAsia="仿宋" w:cs="仿宋"/>
          <w:color w:val="000000" w:themeColor="text1"/>
          <w:sz w:val="32"/>
          <w:szCs w:val="32"/>
          <w14:textFill>
            <w14:solidFill>
              <w14:schemeClr w14:val="tx1"/>
            </w14:solidFill>
          </w14:textFill>
        </w:rPr>
        <w:t>投标文件资料</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进行</w:t>
      </w:r>
      <w:r>
        <w:rPr>
          <w:rFonts w:hint="eastAsia" w:ascii="仿宋" w:hAnsi="仿宋" w:eastAsia="仿宋" w:cs="仿宋"/>
          <w:color w:val="000000" w:themeColor="text1"/>
          <w:sz w:val="32"/>
          <w:szCs w:val="32"/>
          <w14:textFill>
            <w14:solidFill>
              <w14:schemeClr w14:val="tx1"/>
            </w14:solidFill>
          </w14:textFill>
        </w:rPr>
        <w:t>妥善保管，</w:t>
      </w:r>
      <w:r>
        <w:rPr>
          <w:rFonts w:hint="eastAsia" w:ascii="仿宋" w:hAnsi="仿宋" w:eastAsia="仿宋" w:cs="仿宋"/>
          <w:color w:val="000000" w:themeColor="text1"/>
          <w:sz w:val="32"/>
          <w:szCs w:val="32"/>
          <w:lang w:val="en-US" w:eastAsia="zh-CN"/>
          <w14:textFill>
            <w14:solidFill>
              <w14:schemeClr w14:val="tx1"/>
            </w14:solidFill>
          </w14:textFill>
        </w:rPr>
        <w:t>并承诺严格保密</w:t>
      </w:r>
      <w:r>
        <w:rPr>
          <w:rFonts w:hint="eastAsia" w:ascii="仿宋" w:hAnsi="仿宋" w:eastAsia="仿宋" w:cs="仿宋"/>
          <w:color w:val="000000" w:themeColor="text1"/>
          <w:sz w:val="32"/>
          <w:szCs w:val="32"/>
          <w14:textFill>
            <w14:solidFill>
              <w14:schemeClr w14:val="tx1"/>
            </w14:solidFill>
          </w14:textFill>
        </w:rPr>
        <w:t>。</w:t>
      </w:r>
    </w:p>
    <w:p>
      <w:pPr>
        <w:pStyle w:val="11"/>
        <w:numPr>
          <w:ilvl w:val="0"/>
          <w:numId w:val="0"/>
        </w:numPr>
        <w:spacing w:line="560" w:lineRule="exact"/>
        <w:ind w:firstLine="964" w:firstLineChars="300"/>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二、数量和线路</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（一）数量：约36万吨。</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由各制糖公司根据甘蔗估产情况和</w:t>
      </w:r>
      <w:r>
        <w:rPr>
          <w:rFonts w:hint="eastAsia" w:ascii="仿宋" w:hAnsi="仿宋" w:eastAsia="仿宋" w:cs="仿宋"/>
          <w:color w:val="auto"/>
          <w:sz w:val="32"/>
          <w:szCs w:val="32"/>
          <w:lang w:val="en-US" w:eastAsia="zh-CN"/>
        </w:rPr>
        <w:t>节渣率等</w:t>
      </w:r>
      <w:r>
        <w:rPr>
          <w:rFonts w:hint="eastAsia" w:ascii="仿宋" w:hAnsi="仿宋" w:eastAsia="仿宋" w:cs="仿宋"/>
          <w:color w:val="auto"/>
          <w:sz w:val="32"/>
          <w:szCs w:val="32"/>
        </w:rPr>
        <w:t>计算上报</w:t>
      </w:r>
      <w:r>
        <w:rPr>
          <w:rFonts w:hint="eastAsia" w:ascii="仿宋" w:hAnsi="仿宋" w:eastAsia="仿宋" w:cs="仿宋"/>
          <w:color w:val="auto"/>
          <w:sz w:val="32"/>
          <w:szCs w:val="32"/>
          <w:lang w:eastAsia="zh-CN"/>
        </w:rPr>
        <w:t>2022/23</w:t>
      </w:r>
      <w:r>
        <w:rPr>
          <w:rFonts w:hint="eastAsia" w:ascii="仿宋" w:hAnsi="仿宋" w:eastAsia="仿宋" w:cs="仿宋"/>
          <w:color w:val="auto"/>
          <w:sz w:val="32"/>
          <w:szCs w:val="32"/>
        </w:rPr>
        <w:t>榨季</w:t>
      </w:r>
      <w:r>
        <w:rPr>
          <w:rFonts w:hint="eastAsia" w:ascii="仿宋" w:hAnsi="仿宋" w:eastAsia="仿宋" w:cs="仿宋"/>
          <w:color w:val="auto"/>
          <w:sz w:val="32"/>
          <w:szCs w:val="32"/>
          <w:lang w:val="en-US" w:eastAsia="zh-CN"/>
        </w:rPr>
        <w:t>可销售运往兴桂纸业公司的蔗渣数量，约为36万吨（以实际运输为准），具体如下：</w:t>
      </w:r>
    </w:p>
    <w:p>
      <w:pPr>
        <w:pStyle w:val="11"/>
        <w:numPr>
          <w:ilvl w:val="-1"/>
          <w:numId w:val="0"/>
        </w:numPr>
        <w:spacing w:line="560" w:lineRule="exact"/>
        <w:ind w:left="0" w:leftChars="0"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2022/23榨季各制糖公司蔗渣可销量统计（以实际为准）</w:t>
      </w:r>
    </w:p>
    <w:tbl>
      <w:tblPr>
        <w:tblStyle w:val="6"/>
        <w:tblW w:w="94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8"/>
        <w:gridCol w:w="1040"/>
        <w:gridCol w:w="818"/>
        <w:gridCol w:w="709"/>
        <w:gridCol w:w="2236"/>
        <w:gridCol w:w="955"/>
        <w:gridCol w:w="32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制糖公司</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数量（吨）</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打包/散渣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需要车型</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装车方式</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bookmarkStart w:id="0" w:name="OLE_LINK1" w:colFirst="2" w:colLast="2"/>
            <w:r>
              <w:rPr>
                <w:rFonts w:hint="eastAsia" w:ascii="宋体" w:hAnsi="宋体" w:eastAsia="宋体" w:cs="宋体"/>
                <w:i w:val="0"/>
                <w:iCs w:val="0"/>
                <w:color w:val="000000"/>
                <w:kern w:val="0"/>
                <w:sz w:val="18"/>
                <w:szCs w:val="18"/>
                <w:u w:val="none"/>
                <w:lang w:val="en-US" w:eastAsia="zh-CN" w:bidi="ar"/>
              </w:rPr>
              <w:t>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西江制糖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重型仓栏式挂车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需要运输公司安排铲车或钩机把散渣压实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露塘制糖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13米高低板高栏挂车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散装</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需要运输公司安排钩机把散渣压实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廖平制糖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散装车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廖平制糖安排挖掘机压实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良圻制糖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（不超过13米、高栏）拖头车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需要运输公司派人平整叠好车厢顶部的蔗渣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金光制糖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合法标吨蔗渣散渣专用车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需要运输公司安排钩机把散渣压实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柳兴制糖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合法标吨蔗渣散渣专用车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需要运输公司安排钩机把散渣压实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星星制糖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大型拖头</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需要运输公司安排钩机把散渣压实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达华制糖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车长不超过16.5米的边栏拖头挂车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蔗渣下料口装车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需要运输公司自备钩机压实装车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大新制糖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57600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合法标吨蔗渣散渣专用车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需要运输公司安排钩机把散渣压实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平吉制糖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高栏车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由运输公司负责叠装整齐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昌菱制糖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合法标吨蔗渣散渣专用车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需要运输公司安排钩机把散渣压实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黔江制糖</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23500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散渣</w:t>
            </w:r>
          </w:p>
        </w:tc>
        <w:tc>
          <w:tcPr>
            <w:tcW w:w="2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拖头</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输送带</w:t>
            </w:r>
          </w:p>
        </w:tc>
        <w:tc>
          <w:tcPr>
            <w:tcW w:w="3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需要运输公司安排人员码垛压实</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361100</w:t>
            </w:r>
          </w:p>
        </w:tc>
        <w:tc>
          <w:tcPr>
            <w:tcW w:w="71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left"/>
              <w:textAlignment w:val="center"/>
              <w:rPr>
                <w:rFonts w:hint="eastAsia" w:ascii="宋体" w:hAnsi="宋体" w:eastAsia="宋体" w:cs="宋体"/>
                <w:i w:val="0"/>
                <w:iCs w:val="0"/>
                <w:color w:val="000000"/>
                <w:kern w:val="0"/>
                <w:sz w:val="18"/>
                <w:szCs w:val="18"/>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（二）线路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广糖集团下属各制糖公司</w:t>
      </w:r>
      <w:r>
        <w:rPr>
          <w:rFonts w:hint="eastAsia" w:ascii="仿宋" w:hAnsi="仿宋" w:eastAsia="仿宋" w:cs="仿宋"/>
          <w:color w:val="auto"/>
          <w:sz w:val="32"/>
          <w:szCs w:val="32"/>
          <w:lang w:val="en-US" w:eastAsia="zh-CN"/>
        </w:rPr>
        <w:t>(除红河制糖外)</w:t>
      </w:r>
      <w:r>
        <w:rPr>
          <w:rFonts w:hint="eastAsia" w:ascii="仿宋" w:hAnsi="仿宋" w:eastAsia="仿宋" w:cs="仿宋"/>
          <w:color w:val="auto"/>
          <w:sz w:val="32"/>
          <w:szCs w:val="32"/>
          <w:lang w:eastAsia="zh-CN"/>
        </w:rPr>
        <w:t>的甘蔗渣</w:t>
      </w:r>
      <w:r>
        <w:rPr>
          <w:rFonts w:hint="eastAsia" w:ascii="仿宋" w:hAnsi="仿宋" w:eastAsia="仿宋" w:cs="仿宋"/>
          <w:color w:val="auto"/>
          <w:sz w:val="32"/>
          <w:szCs w:val="32"/>
        </w:rPr>
        <w:t>按规定的时间、地点运送至</w:t>
      </w:r>
      <w:r>
        <w:rPr>
          <w:rFonts w:hint="eastAsia" w:ascii="仿宋" w:hAnsi="仿宋" w:eastAsia="仿宋" w:cs="仿宋"/>
          <w:color w:val="auto"/>
          <w:sz w:val="32"/>
          <w:szCs w:val="32"/>
          <w:lang w:eastAsia="zh-CN"/>
        </w:rPr>
        <w:t>广西兴桂纸业有限公司，</w:t>
      </w:r>
      <w:r>
        <w:rPr>
          <w:rFonts w:hint="eastAsia" w:ascii="仿宋" w:hAnsi="仿宋" w:eastAsia="仿宋" w:cs="仿宋"/>
          <w:color w:val="auto"/>
          <w:sz w:val="32"/>
          <w:szCs w:val="32"/>
        </w:rPr>
        <w:t>运输路线</w:t>
      </w:r>
      <w:r>
        <w:rPr>
          <w:rFonts w:hint="eastAsia" w:ascii="仿宋" w:hAnsi="仿宋" w:eastAsia="仿宋" w:cs="仿宋"/>
          <w:color w:val="auto"/>
          <w:sz w:val="32"/>
          <w:szCs w:val="32"/>
          <w:lang w:eastAsia="zh-CN"/>
        </w:rPr>
        <w:t>以最短最优路线为准</w:t>
      </w:r>
      <w:r>
        <w:rPr>
          <w:rFonts w:hint="eastAsia" w:ascii="仿宋" w:hAnsi="仿宋" w:eastAsia="仿宋" w:cs="仿宋"/>
          <w:color w:val="auto"/>
          <w:sz w:val="32"/>
          <w:szCs w:val="32"/>
        </w:rPr>
        <w:t>。</w:t>
      </w:r>
    </w:p>
    <w:p>
      <w:pPr>
        <w:pStyle w:val="2"/>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2、招标人不排除广糖集团根据销售计划的改变将大新、昌菱、平吉、星星等制糖公司的蔗渣另外销售的可能性，如果大新、昌菱、平吉、星星等制糖公司的蔗渣不拉到兴桂纸业，招标人将放弃以上线路的招标结果，中标人不能以此为由扰乱以上制糖公司的正常生产和蔗渣的运输，请投标人做好风险控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000000" w:themeColor="text1"/>
          <w:sz w:val="32"/>
          <w:szCs w:val="32"/>
          <w:lang w:val="en-US" w:eastAsia="zh-CN"/>
          <w14:textFill>
            <w14:solidFill>
              <w14:schemeClr w14:val="tx1"/>
            </w14:solidFill>
          </w14:textFill>
        </w:rPr>
        <w:t>三、</w:t>
      </w:r>
      <w:r>
        <w:rPr>
          <w:rFonts w:hint="eastAsia" w:ascii="仿宋" w:hAnsi="仿宋" w:eastAsia="仿宋" w:cs="仿宋"/>
          <w:b/>
          <w:bCs/>
          <w:color w:val="auto"/>
          <w:sz w:val="32"/>
          <w:szCs w:val="32"/>
        </w:rPr>
        <w:t>物流商准入机制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参与投标的物流商注册资本需达到200万元及以上，有固定经营场所且处于正常经营状态</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拥有大宗货物物流服务经验</w:t>
      </w:r>
      <w:r>
        <w:rPr>
          <w:rFonts w:hint="eastAsia" w:ascii="仿宋" w:hAnsi="仿宋" w:eastAsia="仿宋" w:cs="仿宋"/>
          <w:color w:val="auto"/>
          <w:sz w:val="32"/>
          <w:szCs w:val="32"/>
          <w:lang w:eastAsia="zh-CN"/>
        </w:rPr>
        <w:t>两</w:t>
      </w:r>
      <w:r>
        <w:rPr>
          <w:rFonts w:hint="eastAsia" w:ascii="仿宋" w:hAnsi="仿宋" w:eastAsia="仿宋" w:cs="仿宋"/>
          <w:color w:val="auto"/>
          <w:sz w:val="32"/>
          <w:szCs w:val="32"/>
        </w:rPr>
        <w:t>年以上，必须具备独立承担运输货物和运输风险抵御的能力。曾服务过广糖集团或其他制糖企业的物流商优先</w:t>
      </w:r>
      <w:r>
        <w:rPr>
          <w:rFonts w:hint="eastAsia" w:ascii="仿宋" w:hAnsi="仿宋" w:eastAsia="仿宋" w:cs="仿宋"/>
          <w:color w:val="auto"/>
          <w:sz w:val="32"/>
          <w:szCs w:val="32"/>
          <w:lang w:eastAsia="zh-CN"/>
        </w:rPr>
        <w:t>；</w:t>
      </w:r>
    </w:p>
    <w:p>
      <w:pPr>
        <w:numPr>
          <w:ilvl w:val="0"/>
          <w:numId w:val="0"/>
        </w:num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w:t>
      </w:r>
      <w:r>
        <w:rPr>
          <w:rFonts w:hint="eastAsia" w:ascii="仿宋" w:hAnsi="仿宋" w:eastAsia="仿宋" w:cs="仿宋"/>
          <w:b w:val="0"/>
          <w:bCs w:val="0"/>
          <w:color w:val="auto"/>
          <w:sz w:val="32"/>
          <w:szCs w:val="32"/>
        </w:rPr>
        <w:t>参与投标的物流商必须具有《企业营业执照》、《</w:t>
      </w:r>
      <w:r>
        <w:rPr>
          <w:rFonts w:hint="eastAsia" w:ascii="仿宋" w:hAnsi="仿宋" w:eastAsia="仿宋" w:cs="仿宋"/>
          <w:b w:val="0"/>
          <w:bCs w:val="0"/>
          <w:color w:val="auto"/>
          <w:sz w:val="32"/>
          <w:szCs w:val="32"/>
          <w:lang w:val="en-US" w:eastAsia="zh-CN"/>
        </w:rPr>
        <w:t>道路</w:t>
      </w:r>
      <w:r>
        <w:rPr>
          <w:rFonts w:hint="eastAsia" w:ascii="仿宋" w:hAnsi="仿宋" w:eastAsia="仿宋" w:cs="仿宋"/>
          <w:b w:val="0"/>
          <w:bCs w:val="0"/>
          <w:color w:val="auto"/>
          <w:sz w:val="32"/>
          <w:szCs w:val="32"/>
        </w:rPr>
        <w:t>运输</w:t>
      </w:r>
      <w:r>
        <w:rPr>
          <w:rFonts w:hint="eastAsia" w:ascii="仿宋" w:hAnsi="仿宋" w:eastAsia="仿宋" w:cs="仿宋"/>
          <w:b w:val="0"/>
          <w:bCs w:val="0"/>
          <w:color w:val="auto"/>
          <w:sz w:val="32"/>
          <w:szCs w:val="32"/>
          <w:lang w:val="en-US" w:eastAsia="zh-CN"/>
        </w:rPr>
        <w:t>许可</w:t>
      </w:r>
      <w:r>
        <w:rPr>
          <w:rFonts w:hint="eastAsia" w:ascii="仿宋" w:hAnsi="仿宋" w:eastAsia="仿宋" w:cs="仿宋"/>
          <w:b w:val="0"/>
          <w:bCs w:val="0"/>
          <w:color w:val="auto"/>
          <w:sz w:val="32"/>
          <w:szCs w:val="32"/>
        </w:rPr>
        <w:t>证》等资质</w:t>
      </w:r>
      <w:r>
        <w:rPr>
          <w:rFonts w:hint="eastAsia" w:ascii="仿宋" w:hAnsi="仿宋" w:eastAsia="仿宋" w:cs="仿宋"/>
          <w:color w:val="auto"/>
          <w:sz w:val="32"/>
          <w:szCs w:val="32"/>
        </w:rPr>
        <w:t>，且以上证件都在有效期内</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并按照备案资料清单要求提交相关材料</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业界口碑、信用良好，无严重违规记录，无当前被执行案件，公司法定代表人及实际控制人均未被纳入失信名单</w:t>
      </w:r>
      <w:r>
        <w:rPr>
          <w:rFonts w:hint="eastAsia" w:ascii="仿宋" w:hAnsi="仿宋" w:eastAsia="仿宋" w:cs="仿宋"/>
          <w:color w:val="auto"/>
          <w:sz w:val="32"/>
          <w:szCs w:val="32"/>
          <w:lang w:eastAsia="zh-CN"/>
        </w:rPr>
        <w:t>；</w:t>
      </w:r>
    </w:p>
    <w:p>
      <w:pPr>
        <w:pStyle w:val="10"/>
        <w:numPr>
          <w:ilvl w:val="0"/>
          <w:numId w:val="0"/>
        </w:numPr>
        <w:tabs>
          <w:tab w:val="left" w:pos="1054"/>
        </w:tabs>
        <w:spacing w:before="0" w:after="0" w:line="343" w:lineRule="auto"/>
        <w:ind w:right="252" w:rightChars="0"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必须具有成熟完善的运力保障方案及运力管理方案。</w:t>
      </w:r>
    </w:p>
    <w:p>
      <w:pPr>
        <w:keepNext w:val="0"/>
        <w:keepLines w:val="0"/>
        <w:pageBreakBefore w:val="0"/>
        <w:widowControl w:val="0"/>
        <w:kinsoku/>
        <w:wordWrap/>
        <w:overflowPunct/>
        <w:topLinePunct w:val="0"/>
        <w:autoSpaceDE/>
        <w:autoSpaceDN/>
        <w:bidi w:val="0"/>
        <w:adjustRightInd/>
        <w:snapToGrid/>
        <w:spacing w:line="560" w:lineRule="exact"/>
        <w:ind w:leftChars="0" w:firstLine="643" w:firstLineChars="20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000000" w:themeColor="text1"/>
          <w:sz w:val="32"/>
          <w:szCs w:val="32"/>
          <w:lang w:val="en-US" w:eastAsia="zh-CN"/>
          <w14:textFill>
            <w14:solidFill>
              <w14:schemeClr w14:val="tx1"/>
            </w14:solidFill>
          </w14:textFill>
        </w:rPr>
        <w:t>四、</w:t>
      </w:r>
      <w:r>
        <w:rPr>
          <w:rFonts w:hint="eastAsia" w:ascii="仿宋" w:hAnsi="仿宋" w:eastAsia="仿宋" w:cs="仿宋"/>
          <w:b/>
          <w:bCs/>
          <w:color w:val="auto"/>
          <w:sz w:val="32"/>
          <w:szCs w:val="32"/>
          <w:lang w:val="en-US" w:eastAsia="zh-CN"/>
        </w:rPr>
        <w:t>招标保证金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1、竞价保证金收取</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为确保参与者认真对待竞价操作，避免随意报价及</w:t>
      </w:r>
      <w:r>
        <w:rPr>
          <w:rFonts w:hint="eastAsia" w:ascii="仿宋" w:hAnsi="仿宋" w:eastAsia="仿宋" w:cs="仿宋"/>
          <w:color w:val="auto"/>
          <w:sz w:val="32"/>
          <w:szCs w:val="32"/>
        </w:rPr>
        <w:t>扰乱秩序</w:t>
      </w:r>
      <w:r>
        <w:rPr>
          <w:rFonts w:hint="eastAsia" w:ascii="仿宋" w:hAnsi="仿宋" w:eastAsia="仿宋" w:cs="仿宋"/>
          <w:color w:val="auto"/>
          <w:sz w:val="32"/>
          <w:szCs w:val="32"/>
          <w:lang w:val="en-US" w:eastAsia="zh-CN"/>
        </w:rPr>
        <w:t>等</w:t>
      </w:r>
      <w:r>
        <w:rPr>
          <w:rFonts w:hint="eastAsia" w:ascii="仿宋" w:hAnsi="仿宋" w:eastAsia="仿宋" w:cs="仿宋"/>
          <w:color w:val="auto"/>
          <w:sz w:val="32"/>
          <w:szCs w:val="32"/>
        </w:rPr>
        <w:t>行为</w:t>
      </w:r>
      <w:r>
        <w:rPr>
          <w:rFonts w:hint="eastAsia" w:ascii="仿宋" w:hAnsi="仿宋" w:eastAsia="仿宋" w:cs="仿宋"/>
          <w:color w:val="auto"/>
          <w:sz w:val="32"/>
          <w:szCs w:val="32"/>
          <w:lang w:val="en-US" w:eastAsia="zh-CN"/>
        </w:rPr>
        <w:t>，将对参与运输竞价的运输公司收取竞价保证金，</w:t>
      </w:r>
      <w:r>
        <w:rPr>
          <w:rFonts w:hint="eastAsia" w:ascii="仿宋" w:hAnsi="仿宋" w:eastAsia="仿宋" w:cs="仿宋"/>
          <w:color w:val="auto"/>
          <w:sz w:val="32"/>
          <w:szCs w:val="32"/>
        </w:rPr>
        <w:t>针对此次运输路线竞价按每家20万元收取竞价保证金</w:t>
      </w:r>
      <w:r>
        <w:rPr>
          <w:rFonts w:hint="eastAsia" w:ascii="仿宋" w:hAnsi="仿宋" w:eastAsia="仿宋" w:cs="仿宋"/>
          <w:color w:val="auto"/>
          <w:sz w:val="32"/>
          <w:szCs w:val="32"/>
          <w:lang w:val="en-US" w:eastAsia="zh-CN"/>
        </w:rPr>
        <w:t>。每个运输公司最多只能报3条运输路线，报价多于3条运输路线的运输公司整个报价无效，作废标处理。竞价结束后，不中标者退还竞价保证金，中标者不按规定签订合同/协议或弃标，不退还竞价保证金。</w:t>
      </w:r>
    </w:p>
    <w:p>
      <w:pPr>
        <w:spacing w:line="560" w:lineRule="exact"/>
        <w:ind w:firstLine="640" w:firstLineChars="200"/>
        <w:rPr>
          <w:rFonts w:hint="eastAsia" w:ascii="仿宋" w:hAnsi="仿宋" w:eastAsia="仿宋" w:cs="仿宋"/>
          <w:b w:val="0"/>
          <w:bCs w:val="0"/>
          <w:color w:val="auto"/>
          <w:sz w:val="32"/>
          <w:szCs w:val="32"/>
        </w:rPr>
      </w:pPr>
      <w:r>
        <w:rPr>
          <w:rFonts w:hint="eastAsia" w:ascii="仿宋" w:hAnsi="仿宋" w:eastAsia="仿宋" w:cs="仿宋"/>
          <w:b w:val="0"/>
          <w:bCs w:val="0"/>
          <w:color w:val="auto"/>
          <w:kern w:val="2"/>
          <w:sz w:val="32"/>
          <w:szCs w:val="32"/>
          <w:lang w:eastAsia="zh-CN"/>
        </w:rPr>
        <w:t>2、</w:t>
      </w:r>
      <w:r>
        <w:rPr>
          <w:rFonts w:hint="eastAsia" w:ascii="仿宋" w:hAnsi="仿宋" w:eastAsia="仿宋" w:cs="仿宋"/>
          <w:b w:val="0"/>
          <w:bCs w:val="0"/>
          <w:i w:val="0"/>
          <w:iCs w:val="0"/>
          <w:color w:val="auto"/>
          <w:kern w:val="2"/>
          <w:sz w:val="32"/>
          <w:szCs w:val="32"/>
          <w:u w:val="none"/>
          <w:lang w:val="en-US" w:eastAsia="zh-CN" w:bidi="ar"/>
        </w:rPr>
        <w:t>履约保证金</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）为确保竞价有效，物流商需于签订合同后5个工作日内将</w:t>
      </w:r>
      <w:r>
        <w:rPr>
          <w:rFonts w:hint="eastAsia" w:ascii="仿宋" w:hAnsi="仿宋" w:eastAsia="仿宋" w:cs="仿宋"/>
          <w:color w:val="auto"/>
          <w:sz w:val="32"/>
          <w:szCs w:val="32"/>
          <w:lang w:val="en-US" w:eastAsia="zh-CN"/>
        </w:rPr>
        <w:t>履约</w:t>
      </w:r>
      <w:r>
        <w:rPr>
          <w:rFonts w:hint="eastAsia" w:ascii="仿宋" w:hAnsi="仿宋" w:eastAsia="仿宋" w:cs="仿宋"/>
          <w:color w:val="auto"/>
          <w:sz w:val="32"/>
          <w:szCs w:val="32"/>
        </w:rPr>
        <w:t>保证金付至</w:t>
      </w:r>
      <w:r>
        <w:rPr>
          <w:rFonts w:hint="eastAsia" w:ascii="仿宋" w:hAnsi="仿宋" w:eastAsia="仿宋" w:cs="仿宋"/>
          <w:color w:val="auto"/>
          <w:sz w:val="32"/>
          <w:szCs w:val="32"/>
          <w:lang w:val="en-US" w:eastAsia="zh-CN"/>
        </w:rPr>
        <w:t>指定账号，</w:t>
      </w:r>
      <w:r>
        <w:rPr>
          <w:rFonts w:hint="eastAsia" w:ascii="仿宋" w:hAnsi="仿宋" w:eastAsia="仿宋" w:cs="仿宋"/>
          <w:color w:val="auto"/>
          <w:sz w:val="32"/>
          <w:szCs w:val="32"/>
          <w:lang w:eastAsia="zh-CN"/>
        </w:rPr>
        <w:t>履约保证金</w:t>
      </w:r>
      <w:r>
        <w:rPr>
          <w:rFonts w:hint="eastAsia" w:ascii="仿宋" w:hAnsi="仿宋" w:eastAsia="仿宋" w:cs="仿宋"/>
          <w:color w:val="auto"/>
          <w:sz w:val="32"/>
          <w:szCs w:val="32"/>
        </w:rPr>
        <w:t>作为物流商履行合同的业务保证金。</w:t>
      </w:r>
      <w:r>
        <w:rPr>
          <w:rFonts w:hint="eastAsia" w:ascii="仿宋" w:hAnsi="仿宋" w:eastAsia="仿宋" w:cs="仿宋"/>
          <w:color w:val="auto"/>
          <w:kern w:val="2"/>
          <w:sz w:val="32"/>
          <w:szCs w:val="32"/>
          <w:lang w:val="en-US" w:eastAsia="zh-CN"/>
        </w:rPr>
        <w:t>竞价保证金20万元可转为履约保证金，不足部分需补交，多退少补，</w:t>
      </w:r>
      <w:r>
        <w:rPr>
          <w:rFonts w:hint="eastAsia" w:ascii="仿宋" w:hAnsi="仿宋" w:eastAsia="仿宋" w:cs="仿宋"/>
          <w:color w:val="auto"/>
          <w:kern w:val="2"/>
          <w:sz w:val="32"/>
          <w:szCs w:val="32"/>
        </w:rPr>
        <w:t>服务期</w:t>
      </w:r>
      <w:r>
        <w:rPr>
          <w:rFonts w:hint="eastAsia" w:ascii="仿宋" w:hAnsi="仿宋" w:eastAsia="仿宋" w:cs="仿宋"/>
          <w:color w:val="auto"/>
          <w:sz w:val="32"/>
          <w:szCs w:val="32"/>
        </w:rPr>
        <w:t>满后由</w:t>
      </w:r>
      <w:r>
        <w:rPr>
          <w:rFonts w:hint="eastAsia" w:ascii="仿宋" w:hAnsi="仿宋" w:eastAsia="仿宋" w:cs="仿宋"/>
          <w:color w:val="auto"/>
          <w:sz w:val="32"/>
          <w:szCs w:val="32"/>
          <w:lang w:val="en-US" w:eastAsia="zh-CN"/>
        </w:rPr>
        <w:t>中标物流商</w:t>
      </w:r>
      <w:r>
        <w:rPr>
          <w:rFonts w:hint="eastAsia" w:ascii="仿宋" w:hAnsi="仿宋" w:eastAsia="仿宋" w:cs="仿宋"/>
          <w:color w:val="auto"/>
          <w:sz w:val="32"/>
          <w:szCs w:val="32"/>
        </w:rPr>
        <w:t>提出申请，采购人10个工作日内无息退还</w:t>
      </w:r>
      <w:r>
        <w:rPr>
          <w:rFonts w:hint="eastAsia" w:ascii="仿宋" w:hAnsi="仿宋" w:eastAsia="仿宋" w:cs="仿宋"/>
          <w:color w:val="auto"/>
          <w:sz w:val="32"/>
          <w:szCs w:val="32"/>
          <w:lang w:eastAsia="zh-CN"/>
        </w:rPr>
        <w:t>；</w:t>
      </w:r>
    </w:p>
    <w:p>
      <w:p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按路线总额的10%设定</w:t>
      </w:r>
      <w:r>
        <w:rPr>
          <w:rFonts w:hint="eastAsia" w:ascii="仿宋" w:hAnsi="仿宋" w:eastAsia="仿宋" w:cs="仿宋"/>
          <w:color w:val="auto"/>
          <w:sz w:val="32"/>
          <w:szCs w:val="32"/>
          <w:lang w:eastAsia="zh-CN"/>
        </w:rPr>
        <w:t>履约保证金</w:t>
      </w:r>
      <w:r>
        <w:rPr>
          <w:rFonts w:hint="eastAsia" w:ascii="仿宋" w:hAnsi="仿宋" w:eastAsia="仿宋" w:cs="仿宋"/>
          <w:color w:val="auto"/>
          <w:sz w:val="32"/>
          <w:szCs w:val="32"/>
        </w:rPr>
        <w:t>收取比例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单价参考</w:t>
      </w:r>
      <w:r>
        <w:rPr>
          <w:rFonts w:hint="eastAsia" w:ascii="仿宋" w:hAnsi="仿宋" w:eastAsia="仿宋" w:cs="仿宋"/>
          <w:color w:val="auto"/>
          <w:sz w:val="32"/>
          <w:szCs w:val="32"/>
        </w:rPr>
        <w:t>上一年度运价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举例如下表所示：</w:t>
      </w:r>
    </w:p>
    <w:tbl>
      <w:tblPr>
        <w:tblStyle w:val="6"/>
        <w:tblpPr w:leftFromText="180" w:rightFromText="180" w:vertAnchor="text" w:horzAnchor="page" w:tblpX="1356" w:tblpY="220"/>
        <w:tblOverlap w:val="never"/>
        <w:tblW w:w="98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8"/>
        <w:gridCol w:w="784"/>
        <w:gridCol w:w="843"/>
        <w:gridCol w:w="1096"/>
        <w:gridCol w:w="1073"/>
        <w:gridCol w:w="1050"/>
        <w:gridCol w:w="46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9" w:hRule="atLeast"/>
        </w:trPr>
        <w:tc>
          <w:tcPr>
            <w:tcW w:w="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序号</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制糖公司</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 xml:space="preserve">数量（吨）   </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单价</w:t>
            </w:r>
          </w:p>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（元/吨）</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总金额（元）</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履约保证金(万元)</w:t>
            </w:r>
          </w:p>
        </w:tc>
        <w:tc>
          <w:tcPr>
            <w:tcW w:w="4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cs="宋体"/>
                <w:i w:val="0"/>
                <w:iCs w:val="0"/>
                <w:color w:val="auto"/>
                <w:kern w:val="0"/>
                <w:sz w:val="21"/>
                <w:szCs w:val="21"/>
                <w:u w:val="none"/>
                <w:lang w:val="en-US" w:eastAsia="zh-CN" w:bidi="ar"/>
              </w:rPr>
              <w:t>A公司</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cs="宋体"/>
                <w:i w:val="0"/>
                <w:iCs w:val="0"/>
                <w:color w:val="auto"/>
                <w:kern w:val="0"/>
                <w:sz w:val="21"/>
                <w:szCs w:val="21"/>
                <w:u w:val="none"/>
                <w:lang w:val="en-US" w:eastAsia="zh-CN" w:bidi="ar"/>
              </w:rPr>
              <w:t>19000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78</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cs="宋体"/>
                <w:i w:val="0"/>
                <w:iCs w:val="0"/>
                <w:color w:val="auto"/>
                <w:kern w:val="0"/>
                <w:sz w:val="21"/>
                <w:szCs w:val="21"/>
                <w:u w:val="none"/>
                <w:lang w:val="en-US" w:eastAsia="zh-CN" w:bidi="ar"/>
              </w:rPr>
              <w:t>1482000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4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总金额×10%≤15万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，按10万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收取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B公司</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20000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89</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1780000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4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总金额×10%＞15万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≤20万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，按15万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收取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cs="宋体"/>
                <w:i w:val="0"/>
                <w:iCs w:val="0"/>
                <w:color w:val="auto"/>
                <w:kern w:val="0"/>
                <w:sz w:val="21"/>
                <w:szCs w:val="21"/>
                <w:u w:val="none"/>
                <w:lang w:val="en-US" w:eastAsia="zh-CN" w:bidi="ar"/>
              </w:rPr>
              <w:t>C公司</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29000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79.5</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2305500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c>
          <w:tcPr>
            <w:tcW w:w="4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总金额×10%＞20万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≤25万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，按20万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收取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cs="宋体"/>
                <w:i w:val="0"/>
                <w:iCs w:val="0"/>
                <w:color w:val="auto"/>
                <w:kern w:val="0"/>
                <w:sz w:val="21"/>
                <w:szCs w:val="21"/>
                <w:u w:val="none"/>
                <w:lang w:val="en-US" w:eastAsia="zh-CN" w:bidi="ar"/>
              </w:rPr>
              <w:t>D公司</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25000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116</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2900000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w:t>
            </w:r>
          </w:p>
        </w:tc>
        <w:tc>
          <w:tcPr>
            <w:tcW w:w="4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总金额×10%＞25万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≤40万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，按30万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收取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3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cs="宋体"/>
                <w:i w:val="0"/>
                <w:iCs w:val="0"/>
                <w:color w:val="auto"/>
                <w:kern w:val="0"/>
                <w:sz w:val="21"/>
                <w:szCs w:val="21"/>
                <w:u w:val="none"/>
                <w:lang w:val="en-US" w:eastAsia="zh-CN" w:bidi="ar"/>
              </w:rPr>
              <w:t>E公司</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40000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122</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4880000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40</w:t>
            </w:r>
          </w:p>
        </w:tc>
        <w:tc>
          <w:tcPr>
            <w:tcW w:w="4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总金额×10%＞40万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，按40万</w:t>
            </w:r>
            <w:r>
              <w:rPr>
                <w:rFonts w:hint="eastAsia" w:ascii="宋体" w:hAnsi="宋体" w:cs="宋体"/>
                <w:i w:val="0"/>
                <w:iCs w:val="0"/>
                <w:color w:val="auto"/>
                <w:kern w:val="0"/>
                <w:sz w:val="21"/>
                <w:szCs w:val="21"/>
                <w:u w:val="none"/>
                <w:lang w:val="en-US" w:eastAsia="zh-CN" w:bidi="ar"/>
              </w:rPr>
              <w:t>元</w:t>
            </w:r>
            <w:r>
              <w:rPr>
                <w:rFonts w:hint="eastAsia" w:ascii="宋体" w:hAnsi="宋体" w:eastAsia="宋体" w:cs="宋体"/>
                <w:i w:val="0"/>
                <w:iCs w:val="0"/>
                <w:color w:val="auto"/>
                <w:kern w:val="0"/>
                <w:sz w:val="21"/>
                <w:szCs w:val="21"/>
                <w:u w:val="none"/>
                <w:lang w:val="en-US" w:eastAsia="zh-CN" w:bidi="ar"/>
              </w:rPr>
              <w:t>收取</w:t>
            </w:r>
          </w:p>
        </w:tc>
      </w:tr>
    </w:tbl>
    <w:p>
      <w:pPr>
        <w:rPr>
          <w:rFonts w:hint="eastAsia"/>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3、保证金收取方式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竞价保证金、履约保证金缴纳至以下账户：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公司名称：广西兴桂纸业有限公司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开户行：</w:t>
      </w:r>
      <w:r>
        <w:rPr>
          <w:rFonts w:hint="eastAsia" w:ascii="仿宋" w:hAnsi="仿宋" w:eastAsia="仿宋" w:cs="仿宋"/>
          <w:color w:val="auto"/>
          <w:sz w:val="32"/>
          <w:szCs w:val="32"/>
          <w:lang w:eastAsia="zh-CN"/>
        </w:rPr>
        <w:t>中国建设银行股份有限公司南宁新城支行</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账号： 45050160425500001758</w:t>
      </w:r>
      <w:r>
        <w:rPr>
          <w:rFonts w:hint="eastAsia" w:ascii="仿宋" w:hAnsi="仿宋" w:eastAsia="仿宋" w:cs="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用途：备注XX公司蔗渣运输投标竞价保证金</w:t>
      </w:r>
    </w:p>
    <w:p>
      <w:pPr>
        <w:numPr>
          <w:ilvl w:val="0"/>
          <w:numId w:val="0"/>
        </w:numPr>
        <w:ind w:firstLine="640" w:firstLineChars="200"/>
        <w:rPr>
          <w:rFonts w:hint="default"/>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竞价结束后，未中标的可于竞价结束后的可5个工日后发起退款申请，兴桂纸业有限公司在收到竞价保证金退款申请后7个工作日内免息退款。</w:t>
      </w:r>
    </w:p>
    <w:p>
      <w:pPr>
        <w:numPr>
          <w:ilvl w:val="-1"/>
          <w:numId w:val="0"/>
        </w:numPr>
        <w:spacing w:line="560" w:lineRule="exact"/>
        <w:ind w:firstLine="643" w:firstLineChars="200"/>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五、油价联动机制</w:t>
      </w:r>
    </w:p>
    <w:p>
      <w:pPr>
        <w:numPr>
          <w:ilvl w:val="-1"/>
          <w:numId w:val="0"/>
        </w:numPr>
        <w:spacing w:line="560" w:lineRule="exact"/>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auto"/>
          <w:sz w:val="32"/>
          <w:szCs w:val="32"/>
          <w:lang w:val="en-US" w:eastAsia="zh-CN"/>
        </w:rPr>
        <w:t>关于油价调整的运输价格联动，以2022年11月</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lang w:val="en-US" w:eastAsia="zh-CN"/>
        </w:rPr>
        <w:t>日现行的 0＃柴油</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lang w:val="en-US" w:eastAsia="zh-CN"/>
        </w:rPr>
        <w:t>元/升的价格为基数，当 0＃柴油的价格涨跌幅达到或超过 0.50 元/升时，由甲、乙双方协商，相应在原运价的基础上运价提升或降低1元/吨；当通告柴油涨跌幅达到1元/升，相应在原运价的基础上运价提升或降低2元/吨，暂定封顶调整2元/吨运输价格。最终按甲方的书面核准调整运输价格。（0＃柴油的价格以中石化集团公司广西石油分公司的成品油挂牌的零售价格为准）。</w:t>
      </w:r>
    </w:p>
    <w:p>
      <w:pPr>
        <w:numPr>
          <w:ilvl w:val="0"/>
          <w:numId w:val="0"/>
        </w:numPr>
        <w:ind w:leftChars="0" w:firstLine="643" w:firstLineChars="200"/>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六、合同签订</w:t>
      </w:r>
    </w:p>
    <w:p>
      <w:pPr>
        <w:widowControl w:val="0"/>
        <w:numPr>
          <w:ilvl w:val="0"/>
          <w:numId w:val="0"/>
        </w:numPr>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（一）运输商应在收到中标通知书后5个工作日内完成合同签订;为确保竞价有效，运输商需于签订合同后5个工作日内将运输保证金付至广西兴桂纸业有限公司；运输保证金作为运输商履行合同的业务保证金。</w:t>
      </w:r>
    </w:p>
    <w:p>
      <w:pPr>
        <w:numPr>
          <w:ilvl w:val="0"/>
          <w:numId w:val="0"/>
        </w:numPr>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（二）运输商本着良好合作的意愿下，不得随意拒签。确定的路线签约运输商的竞价保证金可冲抵运输保证金，并应在合同签签订前补足运输保证金差额。</w:t>
      </w:r>
    </w:p>
    <w:p>
      <w:pPr>
        <w:numPr>
          <w:ilvl w:val="0"/>
          <w:numId w:val="0"/>
        </w:numPr>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（三）如不能按时签订合同并缴纳相应业务保证金的运输商，兴桂纸业有限公司有权取消其签订资格，如因弃签造成兴桂纸业有限公司签约后续运输商产生的差额损失由第一签约运输商的竞价保证金承担。</w:t>
      </w:r>
    </w:p>
    <w:p>
      <w:pPr>
        <w:numPr>
          <w:ilvl w:val="-1"/>
          <w:numId w:val="0"/>
        </w:numPr>
        <w:spacing w:line="560" w:lineRule="exact"/>
        <w:ind w:firstLine="640" w:firstLineChars="200"/>
        <w:jc w:val="left"/>
        <w:rPr>
          <w:rFonts w:hint="default"/>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（四）</w:t>
      </w:r>
      <w:r>
        <w:rPr>
          <w:rFonts w:hint="eastAsia" w:ascii="方正楷体简体" w:hAnsi="方正楷体简体" w:eastAsia="方正楷体简体" w:cs="方正楷体简体"/>
          <w:b w:val="0"/>
          <w:i w:val="0"/>
          <w:caps w:val="0"/>
          <w:color w:val="auto"/>
          <w:spacing w:val="0"/>
          <w:w w:val="100"/>
          <w:kern w:val="2"/>
          <w:sz w:val="32"/>
          <w:szCs w:val="32"/>
          <w:lang w:val="en-US" w:eastAsia="zh-CN"/>
        </w:rPr>
        <w:t>违约责任之一</w:t>
      </w:r>
      <w:r>
        <w:rPr>
          <w:rFonts w:hint="eastAsia" w:ascii="仿宋" w:hAnsi="仿宋" w:eastAsia="仿宋" w:cs="仿宋"/>
          <w:b w:val="0"/>
          <w:i w:val="0"/>
          <w:caps w:val="0"/>
          <w:color w:val="auto"/>
          <w:spacing w:val="0"/>
          <w:w w:val="100"/>
          <w:kern w:val="2"/>
          <w:sz w:val="32"/>
          <w:szCs w:val="32"/>
          <w:lang w:val="en-US" w:eastAsia="zh-CN"/>
        </w:rPr>
        <w:t>：运输公司</w:t>
      </w:r>
      <w:r>
        <w:rPr>
          <w:rFonts w:hint="eastAsia" w:ascii="仿宋" w:hAnsi="仿宋" w:eastAsia="仿宋" w:cs="仿宋"/>
          <w:b w:val="0"/>
          <w:i w:val="0"/>
          <w:caps w:val="0"/>
          <w:color w:val="auto"/>
          <w:spacing w:val="0"/>
          <w:w w:val="100"/>
          <w:kern w:val="2"/>
          <w:sz w:val="32"/>
          <w:szCs w:val="32"/>
        </w:rPr>
        <w:t>如未能按合同中甲方要求的运输时间及运输量提供服务的，</w:t>
      </w:r>
      <w:r>
        <w:rPr>
          <w:rFonts w:hint="eastAsia" w:ascii="仿宋" w:hAnsi="仿宋" w:eastAsia="仿宋" w:cs="仿宋"/>
          <w:b w:val="0"/>
          <w:i w:val="0"/>
          <w:caps w:val="0"/>
          <w:color w:val="auto"/>
          <w:spacing w:val="0"/>
          <w:w w:val="100"/>
          <w:kern w:val="2"/>
          <w:sz w:val="32"/>
          <w:szCs w:val="32"/>
          <w:lang w:val="en-US" w:eastAsia="zh-CN"/>
        </w:rPr>
        <w:t>采购方</w:t>
      </w:r>
      <w:r>
        <w:rPr>
          <w:rFonts w:hint="eastAsia" w:ascii="仿宋" w:hAnsi="仿宋" w:eastAsia="仿宋" w:cs="仿宋"/>
          <w:b w:val="0"/>
          <w:i w:val="0"/>
          <w:caps w:val="0"/>
          <w:color w:val="auto"/>
          <w:spacing w:val="0"/>
          <w:w w:val="100"/>
          <w:kern w:val="2"/>
          <w:sz w:val="32"/>
          <w:szCs w:val="32"/>
        </w:rPr>
        <w:t>有权就此情况另行委托第三方进行运输，因此产生的价格差异、带来的损失由</w:t>
      </w:r>
      <w:r>
        <w:rPr>
          <w:rFonts w:hint="eastAsia" w:ascii="仿宋" w:hAnsi="仿宋" w:eastAsia="仿宋" w:cs="仿宋"/>
          <w:b w:val="0"/>
          <w:i w:val="0"/>
          <w:caps w:val="0"/>
          <w:color w:val="auto"/>
          <w:spacing w:val="0"/>
          <w:w w:val="100"/>
          <w:kern w:val="2"/>
          <w:sz w:val="32"/>
          <w:szCs w:val="32"/>
          <w:lang w:val="en-US" w:eastAsia="zh-CN"/>
        </w:rPr>
        <w:t>运输公司</w:t>
      </w:r>
      <w:r>
        <w:rPr>
          <w:rFonts w:hint="eastAsia" w:ascii="仿宋" w:hAnsi="仿宋" w:eastAsia="仿宋" w:cs="仿宋"/>
          <w:b w:val="0"/>
          <w:i w:val="0"/>
          <w:caps w:val="0"/>
          <w:color w:val="auto"/>
          <w:spacing w:val="0"/>
          <w:w w:val="100"/>
          <w:kern w:val="2"/>
          <w:sz w:val="32"/>
          <w:szCs w:val="32"/>
        </w:rPr>
        <w:t>方承担，且</w:t>
      </w:r>
      <w:r>
        <w:rPr>
          <w:rFonts w:hint="eastAsia" w:ascii="仿宋" w:hAnsi="仿宋" w:eastAsia="仿宋" w:cs="仿宋"/>
          <w:b w:val="0"/>
          <w:i w:val="0"/>
          <w:caps w:val="0"/>
          <w:color w:val="auto"/>
          <w:spacing w:val="0"/>
          <w:w w:val="100"/>
          <w:kern w:val="2"/>
          <w:sz w:val="32"/>
          <w:szCs w:val="32"/>
          <w:lang w:val="en-US" w:eastAsia="zh-CN"/>
        </w:rPr>
        <w:t>运输公司</w:t>
      </w:r>
      <w:r>
        <w:rPr>
          <w:rFonts w:hint="eastAsia" w:ascii="仿宋" w:hAnsi="仿宋" w:eastAsia="仿宋" w:cs="仿宋"/>
          <w:b w:val="0"/>
          <w:i w:val="0"/>
          <w:caps w:val="0"/>
          <w:color w:val="auto"/>
          <w:spacing w:val="0"/>
          <w:w w:val="100"/>
          <w:kern w:val="2"/>
          <w:sz w:val="32"/>
          <w:szCs w:val="32"/>
        </w:rPr>
        <w:t>应按照上月运输费用的5%向</w:t>
      </w:r>
      <w:r>
        <w:rPr>
          <w:rFonts w:hint="eastAsia" w:ascii="仿宋" w:hAnsi="仿宋" w:eastAsia="仿宋" w:cs="仿宋"/>
          <w:b w:val="0"/>
          <w:i w:val="0"/>
          <w:caps w:val="0"/>
          <w:color w:val="auto"/>
          <w:spacing w:val="0"/>
          <w:w w:val="100"/>
          <w:kern w:val="2"/>
          <w:sz w:val="32"/>
          <w:szCs w:val="32"/>
          <w:lang w:val="en-US" w:eastAsia="zh-CN"/>
        </w:rPr>
        <w:t>采购方</w:t>
      </w:r>
      <w:r>
        <w:rPr>
          <w:rFonts w:hint="eastAsia" w:ascii="仿宋" w:hAnsi="仿宋" w:eastAsia="仿宋" w:cs="仿宋"/>
          <w:b w:val="0"/>
          <w:i w:val="0"/>
          <w:caps w:val="0"/>
          <w:color w:val="auto"/>
          <w:spacing w:val="0"/>
          <w:w w:val="100"/>
          <w:kern w:val="2"/>
          <w:sz w:val="32"/>
          <w:szCs w:val="32"/>
        </w:rPr>
        <w:t>支付违约金，并赔偿</w:t>
      </w:r>
      <w:r>
        <w:rPr>
          <w:rFonts w:hint="eastAsia" w:ascii="仿宋" w:hAnsi="仿宋" w:eastAsia="仿宋" w:cs="仿宋"/>
          <w:b w:val="0"/>
          <w:i w:val="0"/>
          <w:caps w:val="0"/>
          <w:color w:val="auto"/>
          <w:spacing w:val="0"/>
          <w:w w:val="100"/>
          <w:kern w:val="2"/>
          <w:sz w:val="32"/>
          <w:szCs w:val="32"/>
          <w:lang w:val="en-US" w:eastAsia="zh-CN"/>
        </w:rPr>
        <w:t>采购方</w:t>
      </w:r>
      <w:r>
        <w:rPr>
          <w:rFonts w:hint="eastAsia" w:ascii="仿宋" w:hAnsi="仿宋" w:eastAsia="仿宋" w:cs="仿宋"/>
          <w:b w:val="0"/>
          <w:i w:val="0"/>
          <w:caps w:val="0"/>
          <w:color w:val="auto"/>
          <w:spacing w:val="0"/>
          <w:w w:val="100"/>
          <w:kern w:val="2"/>
          <w:sz w:val="32"/>
          <w:szCs w:val="32"/>
        </w:rPr>
        <w:t>损失。</w:t>
      </w:r>
    </w:p>
    <w:p>
      <w:pPr>
        <w:numPr>
          <w:ilvl w:val="0"/>
          <w:numId w:val="0"/>
        </w:numPr>
        <w:ind w:firstLine="643" w:firstLineChars="200"/>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七、结算管理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（一）所有结算均由运输公司与兴桂纸业有限公司进行，严禁运输司机到兴桂纸业有限公司索要运费，出现一次扣罚运输公司5000元，出现三次将取消运输公司承运资格，履约保证金不退还。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（二）当月承运的运输结算，需在下月10日前发起结算申请并与兴桂纸业有限公司进行核对，无误后下月20日前开具发票给兴桂纸业有限公司。</w:t>
      </w:r>
    </w:p>
    <w:p>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baseline"/>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w:t>
      </w:r>
      <w:r>
        <w:rPr>
          <w:rFonts w:hint="eastAsia" w:ascii="仿宋" w:hAnsi="仿宋" w:eastAsia="仿宋" w:cs="仿宋"/>
          <w:b w:val="0"/>
          <w:i w:val="0"/>
          <w:caps w:val="0"/>
          <w:color w:val="000000" w:themeColor="text1"/>
          <w:spacing w:val="0"/>
          <w:w w:val="100"/>
          <w:sz w:val="32"/>
          <w:szCs w:val="32"/>
          <w14:textFill>
            <w14:solidFill>
              <w14:schemeClr w14:val="tx1"/>
            </w14:solidFill>
          </w14:textFill>
        </w:rPr>
        <w:t>乙方将发票及结算清单（具备签章）一并传递至甲方，甲方在收到乙方提供的发票及结算清单后</w:t>
      </w:r>
      <w:r>
        <w:rPr>
          <w:rFonts w:hint="eastAsia" w:ascii="仿宋" w:hAnsi="仿宋" w:eastAsia="仿宋" w:cs="仿宋"/>
          <w:b w:val="0"/>
          <w:i w:val="0"/>
          <w:caps w:val="0"/>
          <w:color w:val="000000" w:themeColor="text1"/>
          <w:spacing w:val="0"/>
          <w:w w:val="100"/>
          <w:sz w:val="32"/>
          <w:szCs w:val="32"/>
          <w:lang w:val="en-US" w:eastAsia="zh-CN"/>
          <w14:textFill>
            <w14:solidFill>
              <w14:schemeClr w14:val="tx1"/>
            </w14:solidFill>
          </w14:textFill>
        </w:rPr>
        <w:t>30</w:t>
      </w:r>
      <w:r>
        <w:rPr>
          <w:rFonts w:hint="eastAsia" w:ascii="仿宋" w:hAnsi="仿宋" w:eastAsia="仿宋" w:cs="仿宋"/>
          <w:b w:val="0"/>
          <w:i w:val="0"/>
          <w:caps w:val="0"/>
          <w:color w:val="000000" w:themeColor="text1"/>
          <w:spacing w:val="0"/>
          <w:w w:val="100"/>
          <w:sz w:val="32"/>
          <w:szCs w:val="32"/>
          <w:lang w:eastAsia="zh-CN"/>
          <w14:textFill>
            <w14:solidFill>
              <w14:schemeClr w14:val="tx1"/>
            </w14:solidFill>
          </w14:textFill>
        </w:rPr>
        <w:t>个工作日</w:t>
      </w:r>
      <w:r>
        <w:rPr>
          <w:rFonts w:hint="eastAsia" w:ascii="仿宋" w:hAnsi="仿宋" w:eastAsia="仿宋" w:cs="仿宋"/>
          <w:b w:val="0"/>
          <w:i w:val="0"/>
          <w:caps w:val="0"/>
          <w:color w:val="000000" w:themeColor="text1"/>
          <w:spacing w:val="0"/>
          <w:w w:val="100"/>
          <w:sz w:val="32"/>
          <w:szCs w:val="32"/>
          <w14:textFill>
            <w14:solidFill>
              <w14:schemeClr w14:val="tx1"/>
            </w14:solidFill>
          </w14:textFill>
        </w:rPr>
        <w:t>内将</w:t>
      </w:r>
      <w:r>
        <w:rPr>
          <w:rFonts w:hint="eastAsia" w:ascii="仿宋" w:hAnsi="仿宋" w:eastAsia="仿宋" w:cs="仿宋"/>
          <w:b w:val="0"/>
          <w:i w:val="0"/>
          <w:caps w:val="0"/>
          <w:color w:val="000000" w:themeColor="text1"/>
          <w:spacing w:val="0"/>
          <w:w w:val="100"/>
          <w:sz w:val="32"/>
          <w:szCs w:val="32"/>
          <w:lang w:eastAsia="zh-CN"/>
          <w14:textFill>
            <w14:solidFill>
              <w14:schemeClr w14:val="tx1"/>
            </w14:solidFill>
          </w14:textFill>
        </w:rPr>
        <w:t>运费付</w:t>
      </w:r>
      <w:r>
        <w:rPr>
          <w:rFonts w:hint="eastAsia" w:ascii="仿宋" w:hAnsi="仿宋" w:eastAsia="仿宋" w:cs="仿宋"/>
          <w:b w:val="0"/>
          <w:i w:val="0"/>
          <w:caps w:val="0"/>
          <w:color w:val="000000" w:themeColor="text1"/>
          <w:spacing w:val="0"/>
          <w:w w:val="100"/>
          <w:sz w:val="32"/>
          <w:szCs w:val="32"/>
          <w14:textFill>
            <w14:solidFill>
              <w14:schemeClr w14:val="tx1"/>
            </w14:solidFill>
          </w14:textFill>
        </w:rPr>
        <w:t>至乙方指定账户。因乙方未能按时提供发票及结算清单的，甲方有权顺延付款期限，且无需承担任何责任。</w:t>
      </w:r>
    </w:p>
    <w:p>
      <w:pPr>
        <w:numPr>
          <w:ilvl w:val="0"/>
          <w:numId w:val="0"/>
        </w:numPr>
        <w:ind w:leftChars="0" w:firstLine="643"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八</w:t>
      </w:r>
      <w:bookmarkStart w:id="1" w:name="_GoBack"/>
      <w:bookmarkEnd w:id="1"/>
      <w:r>
        <w:rPr>
          <w:rFonts w:hint="eastAsia" w:ascii="仿宋" w:hAnsi="仿宋" w:eastAsia="仿宋" w:cs="仿宋"/>
          <w:b/>
          <w:bCs/>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通知送达条款。中标通知信息以邮件和电话的方式通知。</w:t>
      </w:r>
    </w:p>
    <w:p>
      <w:pPr>
        <w:numPr>
          <w:ilvl w:val="0"/>
          <w:numId w:val="0"/>
        </w:numPr>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业务联系人：左仁勃,15277245320，邮箱：</w: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begin"/>
      </w:r>
      <w:r>
        <w:rPr>
          <w:rFonts w:hint="eastAsia" w:ascii="仿宋" w:hAnsi="仿宋" w:eastAsia="仿宋" w:cs="仿宋"/>
          <w:color w:val="000000" w:themeColor="text1"/>
          <w:sz w:val="32"/>
          <w:szCs w:val="32"/>
          <w:u w:val="none"/>
          <w:lang w:val="en-US" w:eastAsia="zh-CN"/>
          <w14:textFill>
            <w14:solidFill>
              <w14:schemeClr w14:val="tx1"/>
            </w14:solidFill>
          </w14:textFill>
        </w:rPr>
        <w:instrText xml:space="preserve"> HYPERLINK "mailto:licuifang@hisugar.com。" </w:instrTex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separate"/>
      </w:r>
      <w:r>
        <w:rPr>
          <w:rStyle w:val="9"/>
          <w:rFonts w:hint="eastAsia" w:ascii="仿宋" w:hAnsi="仿宋" w:eastAsia="仿宋" w:cs="仿宋"/>
          <w:color w:val="000000" w:themeColor="text1"/>
          <w:sz w:val="32"/>
          <w:szCs w:val="32"/>
          <w:lang w:val="en-US" w:eastAsia="zh-CN"/>
          <w14:textFill>
            <w14:solidFill>
              <w14:schemeClr w14:val="tx1"/>
            </w14:solidFill>
          </w14:textFill>
        </w:rPr>
        <w:t>893835683@qq.com。</w: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end"/>
      </w:r>
      <w:r>
        <w:rPr>
          <w:rFonts w:hint="eastAsia" w:ascii="仿宋" w:hAnsi="仿宋" w:eastAsia="仿宋" w:cs="仿宋"/>
          <w:color w:val="000000" w:themeColor="text1"/>
          <w:sz w:val="32"/>
          <w:szCs w:val="32"/>
          <w:u w:val="none"/>
          <w:lang w:val="en-US" w:eastAsia="zh-CN"/>
          <w14:textFill>
            <w14:solidFill>
              <w14:schemeClr w14:val="tx1"/>
            </w14:solidFill>
          </w14:textFill>
        </w:rPr>
        <w:br w:type="textWrapping"/>
      </w:r>
      <w:r>
        <w:rPr>
          <w:rFonts w:hint="eastAsia" w:ascii="仿宋" w:hAnsi="仿宋" w:eastAsia="仿宋" w:cs="仿宋"/>
          <w:color w:val="000000" w:themeColor="text1"/>
          <w:sz w:val="32"/>
          <w:szCs w:val="32"/>
          <w:u w:val="none"/>
          <w:lang w:val="en-US" w:eastAsia="zh-CN"/>
          <w14:textFill>
            <w14:solidFill>
              <w14:schemeClr w14:val="tx1"/>
            </w14:solidFill>
          </w14:textFill>
        </w:rPr>
        <w:t xml:space="preserve">    娄丽慧</w:t>
      </w:r>
      <w:r>
        <w:rPr>
          <w:rFonts w:hint="eastAsia" w:ascii="仿宋" w:hAnsi="仿宋" w:eastAsia="仿宋" w:cs="仿宋"/>
          <w:color w:val="000000" w:themeColor="text1"/>
          <w:sz w:val="32"/>
          <w:szCs w:val="32"/>
          <w:lang w:val="en-US" w:eastAsia="zh-CN"/>
          <w14:textFill>
            <w14:solidFill>
              <w14:schemeClr w14:val="tx1"/>
            </w14:solidFill>
          </w14:textFill>
        </w:rPr>
        <w:t>，15977247352 ，邮箱：2859546866@qq.com 。</w:t>
      </w:r>
    </w:p>
    <w:p>
      <w:pPr>
        <w:numPr>
          <w:ilvl w:val="0"/>
          <w:numId w:val="0"/>
        </w:numPr>
        <w:ind w:leftChars="0"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p>
    <w:p>
      <w:pPr>
        <w:pStyle w:val="2"/>
        <w:rPr>
          <w:rFonts w:hint="eastAsia"/>
          <w:lang w:val="en-US" w:eastAsia="zh-CN"/>
        </w:rPr>
      </w:pPr>
    </w:p>
    <w:p>
      <w:pPr>
        <w:numPr>
          <w:ilvl w:val="0"/>
          <w:numId w:val="0"/>
        </w:numPr>
        <w:ind w:left="6639" w:leftChars="266" w:hanging="6080" w:hangingChars="19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 xml:space="preserve">                               广西兴桂纸业有限公司</w:t>
      </w:r>
    </w:p>
    <w:p>
      <w:pPr>
        <w:numPr>
          <w:ilvl w:val="0"/>
          <w:numId w:val="0"/>
        </w:numPr>
        <w:ind w:left="6625" w:leftChars="2850" w:hanging="640" w:hanging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2022年11月4日</w:t>
      </w:r>
    </w:p>
    <w:p>
      <w:pPr>
        <w:rPr>
          <w:rFonts w:hint="eastAsia" w:ascii="仿宋" w:hAnsi="仿宋" w:eastAsia="仿宋" w:cs="仿宋"/>
          <w:color w:val="000000" w:themeColor="text1"/>
          <w:sz w:val="32"/>
          <w:szCs w:val="32"/>
          <w:lang w:val="en-US" w:eastAsia="zh-CN"/>
          <w14:textFill>
            <w14:solidFill>
              <w14:schemeClr w14:val="tx1"/>
            </w14:solidFill>
          </w14:textFill>
        </w:rPr>
      </w:pPr>
    </w:p>
    <w:sectPr>
      <w:footerReference r:id="rId3" w:type="default"/>
      <w:pgSz w:w="11906" w:h="16838"/>
      <w:pgMar w:top="1587" w:right="1531"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楷体简体">
    <w:altName w:val="宋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5Zjk2NTg4MzQ1OGYwNzllNjFkMzMyMmUxYWUwOTcifQ=="/>
  </w:docVars>
  <w:rsids>
    <w:rsidRoot w:val="6BFE66EF"/>
    <w:rsid w:val="00C63DCD"/>
    <w:rsid w:val="00D32964"/>
    <w:rsid w:val="01B76ADE"/>
    <w:rsid w:val="03153BDD"/>
    <w:rsid w:val="04357B81"/>
    <w:rsid w:val="05A21723"/>
    <w:rsid w:val="063F5622"/>
    <w:rsid w:val="069C75AD"/>
    <w:rsid w:val="07A119FD"/>
    <w:rsid w:val="08DD003A"/>
    <w:rsid w:val="093B57DE"/>
    <w:rsid w:val="0AB84204"/>
    <w:rsid w:val="0B022976"/>
    <w:rsid w:val="0B0567FC"/>
    <w:rsid w:val="0BC01E95"/>
    <w:rsid w:val="0C33650E"/>
    <w:rsid w:val="0CA52BF3"/>
    <w:rsid w:val="0D851CEA"/>
    <w:rsid w:val="0E1117D5"/>
    <w:rsid w:val="0E1C3D4F"/>
    <w:rsid w:val="0E4777C0"/>
    <w:rsid w:val="0E8139DB"/>
    <w:rsid w:val="0FB07D3E"/>
    <w:rsid w:val="10DA04A5"/>
    <w:rsid w:val="1145474C"/>
    <w:rsid w:val="116C4A89"/>
    <w:rsid w:val="121B6344"/>
    <w:rsid w:val="13014BDA"/>
    <w:rsid w:val="138A3CAF"/>
    <w:rsid w:val="146A0D1E"/>
    <w:rsid w:val="15431BC1"/>
    <w:rsid w:val="15452166"/>
    <w:rsid w:val="15FD321F"/>
    <w:rsid w:val="19AA4F04"/>
    <w:rsid w:val="1AF21C42"/>
    <w:rsid w:val="1B1A7E1D"/>
    <w:rsid w:val="1D2B3667"/>
    <w:rsid w:val="1D662232"/>
    <w:rsid w:val="1D8B1C59"/>
    <w:rsid w:val="1D9E7762"/>
    <w:rsid w:val="20070D09"/>
    <w:rsid w:val="20AB217E"/>
    <w:rsid w:val="210E5EA9"/>
    <w:rsid w:val="22F72C70"/>
    <w:rsid w:val="23A34D10"/>
    <w:rsid w:val="24272565"/>
    <w:rsid w:val="247B1961"/>
    <w:rsid w:val="25D24FC7"/>
    <w:rsid w:val="26B135AA"/>
    <w:rsid w:val="26F14267"/>
    <w:rsid w:val="2801107B"/>
    <w:rsid w:val="29C21AF0"/>
    <w:rsid w:val="2A512EC0"/>
    <w:rsid w:val="2A7F01D2"/>
    <w:rsid w:val="2C1811E3"/>
    <w:rsid w:val="2CC6123A"/>
    <w:rsid w:val="2CD848A1"/>
    <w:rsid w:val="2D2D51D9"/>
    <w:rsid w:val="2DA67A50"/>
    <w:rsid w:val="2DDB0AB4"/>
    <w:rsid w:val="2E465959"/>
    <w:rsid w:val="2F6F6260"/>
    <w:rsid w:val="2F927575"/>
    <w:rsid w:val="2FEB03AB"/>
    <w:rsid w:val="31B77BAD"/>
    <w:rsid w:val="32E57D52"/>
    <w:rsid w:val="334164D1"/>
    <w:rsid w:val="33FF6B47"/>
    <w:rsid w:val="35291D25"/>
    <w:rsid w:val="35624F93"/>
    <w:rsid w:val="369267ED"/>
    <w:rsid w:val="36D42B09"/>
    <w:rsid w:val="36EB5933"/>
    <w:rsid w:val="37506FFE"/>
    <w:rsid w:val="37DA762F"/>
    <w:rsid w:val="37E44B0F"/>
    <w:rsid w:val="387F67BB"/>
    <w:rsid w:val="38A328E9"/>
    <w:rsid w:val="38C36D5F"/>
    <w:rsid w:val="3982351B"/>
    <w:rsid w:val="3CB23720"/>
    <w:rsid w:val="3D8412F2"/>
    <w:rsid w:val="3EA61C0D"/>
    <w:rsid w:val="3EE70D49"/>
    <w:rsid w:val="40987D49"/>
    <w:rsid w:val="42336996"/>
    <w:rsid w:val="43B075B9"/>
    <w:rsid w:val="43E47DB3"/>
    <w:rsid w:val="441B76D0"/>
    <w:rsid w:val="447A3824"/>
    <w:rsid w:val="451E2D91"/>
    <w:rsid w:val="45CA5E1B"/>
    <w:rsid w:val="460814EE"/>
    <w:rsid w:val="47BC4937"/>
    <w:rsid w:val="47C647C2"/>
    <w:rsid w:val="47E51C9D"/>
    <w:rsid w:val="493167F7"/>
    <w:rsid w:val="49F46FA2"/>
    <w:rsid w:val="4AF66A82"/>
    <w:rsid w:val="4B8577D9"/>
    <w:rsid w:val="4C483D00"/>
    <w:rsid w:val="4D1F46E6"/>
    <w:rsid w:val="4D7F5B8F"/>
    <w:rsid w:val="4E1B7989"/>
    <w:rsid w:val="4E5C1E1F"/>
    <w:rsid w:val="4EDB0415"/>
    <w:rsid w:val="54972477"/>
    <w:rsid w:val="55C35355"/>
    <w:rsid w:val="55F86EA2"/>
    <w:rsid w:val="56382375"/>
    <w:rsid w:val="57035586"/>
    <w:rsid w:val="57B37BB0"/>
    <w:rsid w:val="58474981"/>
    <w:rsid w:val="5A2807A9"/>
    <w:rsid w:val="5B901025"/>
    <w:rsid w:val="5D465CA3"/>
    <w:rsid w:val="5E394EDC"/>
    <w:rsid w:val="5FF76A97"/>
    <w:rsid w:val="61151C31"/>
    <w:rsid w:val="62404407"/>
    <w:rsid w:val="62F732FF"/>
    <w:rsid w:val="646F2F3C"/>
    <w:rsid w:val="64E35DE1"/>
    <w:rsid w:val="64FC7C24"/>
    <w:rsid w:val="654F4FE5"/>
    <w:rsid w:val="669C5D09"/>
    <w:rsid w:val="6710056E"/>
    <w:rsid w:val="676B037E"/>
    <w:rsid w:val="686656E1"/>
    <w:rsid w:val="695023FF"/>
    <w:rsid w:val="69525D30"/>
    <w:rsid w:val="698B3ADF"/>
    <w:rsid w:val="6BEB0CA5"/>
    <w:rsid w:val="6BFE66EF"/>
    <w:rsid w:val="6C3D40B8"/>
    <w:rsid w:val="6DA71853"/>
    <w:rsid w:val="6E5F603F"/>
    <w:rsid w:val="6EB226DA"/>
    <w:rsid w:val="6F4765F4"/>
    <w:rsid w:val="6FA04886"/>
    <w:rsid w:val="70BC3EC4"/>
    <w:rsid w:val="70C20D61"/>
    <w:rsid w:val="71686444"/>
    <w:rsid w:val="72EC7C45"/>
    <w:rsid w:val="73D13B7D"/>
    <w:rsid w:val="74053ECF"/>
    <w:rsid w:val="742D5C8D"/>
    <w:rsid w:val="75231931"/>
    <w:rsid w:val="759335C2"/>
    <w:rsid w:val="75E17D8E"/>
    <w:rsid w:val="765E01C0"/>
    <w:rsid w:val="769D2054"/>
    <w:rsid w:val="76EC1630"/>
    <w:rsid w:val="77021CBB"/>
    <w:rsid w:val="77BC54E0"/>
    <w:rsid w:val="781E28C9"/>
    <w:rsid w:val="78E52CE1"/>
    <w:rsid w:val="7BB17AA7"/>
    <w:rsid w:val="7DE25CA0"/>
    <w:rsid w:val="7E2D00DA"/>
    <w:rsid w:val="7F0B7FB5"/>
    <w:rsid w:val="7F942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rPr>
      <w:kern w:val="0"/>
      <w:sz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styleId="10">
    <w:name w:val="List Paragraph"/>
    <w:basedOn w:val="1"/>
    <w:qFormat/>
    <w:uiPriority w:val="1"/>
    <w:pPr>
      <w:ind w:left="212" w:firstLine="480"/>
    </w:pPr>
    <w:rPr>
      <w:rFonts w:ascii="宋体" w:hAnsi="宋体" w:eastAsia="宋体" w:cs="宋体"/>
      <w:lang w:val="zh-CN" w:eastAsia="zh-CN" w:bidi="zh-CN"/>
    </w:rPr>
  </w:style>
  <w:style w:type="paragraph" w:customStyle="1" w:styleId="11">
    <w:name w:val="正文 首行缩进:  2 字符"/>
    <w:basedOn w:val="1"/>
    <w:next w:val="1"/>
    <w:qFormat/>
    <w:uiPriority w:val="0"/>
    <w:pPr>
      <w:ind w:firstLine="200" w:firstLineChars="200"/>
    </w:pPr>
    <w:rPr>
      <w:rFonts w:ascii="Calibri" w:hAnsi="Calibri" w:cs="宋体"/>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2840</Words>
  <Characters>3121</Characters>
  <Lines>0</Lines>
  <Paragraphs>0</Paragraphs>
  <TotalTime>27</TotalTime>
  <ScaleCrop>false</ScaleCrop>
  <LinksUpToDate>false</LinksUpToDate>
  <CharactersWithSpaces>3174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2020-10-20T01:16:00Z</dcterms:created>
  <dc:creator>谢帅</dc:creator>
  <cp:lastModifiedBy>Administrator</cp:lastModifiedBy>
  <cp:lastPrinted>2022-11-04T08:39:36Z</cp:lastPrinted>
  <dcterms:modified xsi:type="dcterms:W3CDTF">2022-11-04T08:39:57Z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E1286995D22745A7BBC2690DCD03547E</vt:lpwstr>
  </property>
</Properties>
</file>